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AE2A5B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721284">
        <w:rPr>
          <w:sz w:val="32"/>
          <w:szCs w:val="32"/>
        </w:rPr>
        <w:t>15602</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34A2211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26B6D">
        <w:rPr>
          <w:sz w:val="22"/>
          <w:lang w:val="sv-FI"/>
        </w:rPr>
        <w:t>5.28.2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F5FA70" w:rsidR="00E90E49" w:rsidRPr="00CE0424" w:rsidRDefault="003D3C45" w:rsidP="00311702">
      <w:pPr>
        <w:pStyle w:val="3GPPHeader"/>
        <w:rPr>
          <w:sz w:val="22"/>
        </w:rPr>
      </w:pPr>
      <w:r>
        <w:rPr>
          <w:sz w:val="22"/>
        </w:rPr>
        <w:t>Title:</w:t>
      </w:r>
      <w:r w:rsidR="00E90E49" w:rsidRPr="00CE0424">
        <w:rPr>
          <w:sz w:val="22"/>
        </w:rPr>
        <w:tab/>
      </w:r>
      <w:r w:rsidR="00514A05">
        <w:rPr>
          <w:sz w:val="22"/>
        </w:rPr>
        <w:t>NCR RF requirements</w:t>
      </w:r>
    </w:p>
    <w:p w14:paraId="025260C1" w14:textId="47AA9CCA" w:rsidR="00E90E49" w:rsidRPr="00CE0424" w:rsidRDefault="00E90E49" w:rsidP="00D546FF">
      <w:pPr>
        <w:pStyle w:val="3GPPHeader"/>
        <w:rPr>
          <w:sz w:val="22"/>
        </w:rPr>
      </w:pPr>
      <w:r w:rsidRPr="00CE0424">
        <w:rPr>
          <w:sz w:val="22"/>
        </w:rPr>
        <w:t>Document for:</w:t>
      </w:r>
      <w:r w:rsidRPr="00CE0424">
        <w:rPr>
          <w:sz w:val="22"/>
        </w:rPr>
        <w:tab/>
      </w:r>
      <w:r w:rsidR="00514A0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4120436" w:rsidR="00477768" w:rsidRPr="00CE0424" w:rsidRDefault="009078C9" w:rsidP="00CE0424">
      <w:pPr>
        <w:pStyle w:val="BodyText"/>
      </w:pPr>
      <w:r>
        <w:t>During RAN4#108 and previous RAN4 meetings, many aspects of the NCR RF requirements were</w:t>
      </w:r>
      <w:r w:rsidR="002B6FE0">
        <w:t xml:space="preserve"> completed. This contribution addresses some of the remaining open issues relating to emissions requirements and RX requirements.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08C86DAD" w:rsidR="00F63950" w:rsidRDefault="00230D18" w:rsidP="00F63950">
      <w:pPr>
        <w:pStyle w:val="Heading2"/>
      </w:pPr>
      <w:r>
        <w:t>2.1</w:t>
      </w:r>
      <w:r>
        <w:tab/>
      </w:r>
      <w:r w:rsidR="002B6FE0">
        <w:t xml:space="preserve">Unwanted emissions requirements </w:t>
      </w:r>
      <w:r w:rsidR="00B20CBC">
        <w:t>with simultaneous NCR-FWD and NCR-MT transmission in uplink</w:t>
      </w:r>
    </w:p>
    <w:p w14:paraId="67A35533" w14:textId="21F47BE9" w:rsidR="00B20CBC" w:rsidRDefault="00234EDC" w:rsidP="00CE0424">
      <w:pPr>
        <w:pStyle w:val="BodyText"/>
      </w:pPr>
      <w:r>
        <w:t>In the WF from RAN4#108 [1], the applicable requirement for</w:t>
      </w:r>
      <w:r w:rsidR="004357C4">
        <w:t xml:space="preserve"> unwanted emissions and for spurious emissions when the NCR-FWD and NCR-MT transmit simultaneously in uplink was left open.</w:t>
      </w:r>
    </w:p>
    <w:p w14:paraId="3B4255E3" w14:textId="68B2D254" w:rsidR="004357C4" w:rsidRDefault="00A57461" w:rsidP="00CE0424">
      <w:pPr>
        <w:pStyle w:val="BodyText"/>
      </w:pPr>
      <w:r>
        <w:t xml:space="preserve">From an interference victim point of view and from a regulatory point of view, the NCR is a single </w:t>
      </w:r>
      <w:r w:rsidR="00EF010F">
        <w:t xml:space="preserve">piece of hardware. The repeating function of the FWD part and the </w:t>
      </w:r>
      <w:r w:rsidR="00312027">
        <w:t xml:space="preserve">data transmission from the MT part are additional functionalities, but </w:t>
      </w:r>
      <w:r w:rsidR="001D305C">
        <w:t>emissions</w:t>
      </w:r>
      <w:r w:rsidR="00312027">
        <w:t xml:space="preserve"> requirements are not functionality based. </w:t>
      </w:r>
      <w:r w:rsidR="001D305C">
        <w:t xml:space="preserve">Even if the FWD and MT are separate hardware implementations, the impact to a victim of the interference and </w:t>
      </w:r>
      <w:r w:rsidR="008A7589">
        <w:t>the fact that the NCR is a single enclosure does not change due to the internal implementation of the functionalities.</w:t>
      </w:r>
      <w:r w:rsidR="004617AB">
        <w:t xml:space="preserve"> Emissions requirements on an NCR should not be changed because the NCR transmits both MT and FWD and more than e.g.</w:t>
      </w:r>
      <w:r w:rsidR="00955436">
        <w:t>,</w:t>
      </w:r>
      <w:r w:rsidR="004617AB">
        <w:t xml:space="preserve"> the </w:t>
      </w:r>
      <w:r w:rsidR="002A3C64">
        <w:t>emissions</w:t>
      </w:r>
      <w:r w:rsidR="004617AB">
        <w:t xml:space="preserve"> from a UE if the UE simultaneously transmits PUCCH and PUSCH.</w:t>
      </w:r>
    </w:p>
    <w:p w14:paraId="5427CC7B" w14:textId="77777777" w:rsidR="00C624B0" w:rsidRDefault="002A3C64" w:rsidP="00CE0424">
      <w:pPr>
        <w:pStyle w:val="BodyText"/>
      </w:pPr>
      <w:r>
        <w:t xml:space="preserve">It has already been agreed that the emissions limit when considering simultaneous transmission of NCR-MT and NCR-FWD should be based on the sum of the </w:t>
      </w:r>
      <w:r w:rsidR="00C624B0">
        <w:t>emissions</w:t>
      </w:r>
      <w:r>
        <w:t>.</w:t>
      </w:r>
      <w:r w:rsidR="00C624B0">
        <w:t xml:space="preserve"> To ensure proper and functionality independent emissions limits are applied, the limit should be the same as for a Rel-17 repeater.</w:t>
      </w:r>
    </w:p>
    <w:p w14:paraId="4456AB5A" w14:textId="4BF86367" w:rsidR="00C624B0" w:rsidRDefault="00C624B0" w:rsidP="00CE0424">
      <w:pPr>
        <w:pStyle w:val="BodyText"/>
      </w:pPr>
    </w:p>
    <w:p w14:paraId="24CF5DDB" w14:textId="3F705C04" w:rsidR="00C624B0" w:rsidRDefault="00C624B0" w:rsidP="000659AE">
      <w:pPr>
        <w:pStyle w:val="Proposal"/>
      </w:pPr>
      <w:bookmarkStart w:id="1" w:name="_Toc146707936"/>
      <w:r>
        <w:t>For simultaneous transmission of NCR-MT and NCR-FWD, the unwanted emissions limits and the spurious emissions limits should be the same as those of the Rel-17 repeater.</w:t>
      </w:r>
      <w:bookmarkEnd w:id="1"/>
    </w:p>
    <w:p w14:paraId="2B3DD727" w14:textId="5877759D" w:rsidR="000659AE" w:rsidRDefault="000659AE" w:rsidP="000659AE">
      <w:pPr>
        <w:pStyle w:val="B8"/>
        <w:ind w:left="0" w:firstLine="0"/>
      </w:pPr>
    </w:p>
    <w:p w14:paraId="79E7ED56" w14:textId="10CF3BB8" w:rsidR="000659AE" w:rsidRDefault="000659AE" w:rsidP="000659AE">
      <w:pPr>
        <w:pStyle w:val="B8"/>
        <w:ind w:left="0" w:firstLine="0"/>
        <w:rPr>
          <w:rFonts w:ascii="Arial" w:hAnsi="Arial" w:cs="Arial"/>
        </w:rPr>
      </w:pPr>
      <w:r w:rsidRPr="000659AE">
        <w:rPr>
          <w:rFonts w:ascii="Arial" w:hAnsi="Arial" w:cs="Arial"/>
        </w:rPr>
        <w:t>A similar principle should be app</w:t>
      </w:r>
      <w:r>
        <w:rPr>
          <w:rFonts w:ascii="Arial" w:hAnsi="Arial" w:cs="Arial"/>
        </w:rPr>
        <w:t>lied to RX spurious emissions in scenarios where RX spurious emissions is applicable and may be measured.</w:t>
      </w:r>
    </w:p>
    <w:p w14:paraId="7932C1AE" w14:textId="2B3D2720" w:rsidR="000659AE" w:rsidRDefault="000659AE" w:rsidP="000659AE">
      <w:pPr>
        <w:pStyle w:val="B8"/>
        <w:ind w:left="0" w:firstLine="0"/>
        <w:rPr>
          <w:rFonts w:ascii="Arial" w:hAnsi="Arial" w:cs="Arial"/>
        </w:rPr>
      </w:pPr>
    </w:p>
    <w:p w14:paraId="6412B44A" w14:textId="268344A8" w:rsidR="000659AE" w:rsidRDefault="000659AE" w:rsidP="000659AE">
      <w:pPr>
        <w:pStyle w:val="Proposal"/>
      </w:pPr>
      <w:bookmarkStart w:id="2" w:name="_Toc146707937"/>
      <w:r>
        <w:lastRenderedPageBreak/>
        <w:t>For simultaneous reception of NCR-MT and NCR-FWD in DL, where RX spurious emissions are applicable and measurable the Rel-17 spurious emissions limit should be applied to the sum emissions from the FWD and MT.</w:t>
      </w:r>
      <w:bookmarkEnd w:id="2"/>
    </w:p>
    <w:p w14:paraId="14EDB6E7" w14:textId="77777777" w:rsidR="000659AE" w:rsidRPr="000659AE" w:rsidRDefault="000659AE" w:rsidP="000D73BB">
      <w:pPr>
        <w:pStyle w:val="Doc-text2"/>
        <w:ind w:left="0" w:firstLine="0"/>
      </w:pPr>
    </w:p>
    <w:p w14:paraId="162625FA" w14:textId="09B721B4" w:rsidR="00F63950" w:rsidRDefault="00230D18" w:rsidP="00F63950">
      <w:pPr>
        <w:pStyle w:val="Heading2"/>
      </w:pPr>
      <w:r>
        <w:t>2.2</w:t>
      </w:r>
      <w:r>
        <w:tab/>
      </w:r>
      <w:r w:rsidR="00B738FC">
        <w:t>Application of scaling factors for UL emissions limits</w:t>
      </w:r>
    </w:p>
    <w:p w14:paraId="5244F8CA" w14:textId="575037A2" w:rsidR="00B738FC" w:rsidRDefault="00254D90" w:rsidP="00A04F49">
      <w:pPr>
        <w:pStyle w:val="BodyText"/>
      </w:pPr>
      <w:r>
        <w:t xml:space="preserve">In RAN4#108, it was proposed to apply scaling factors of 6dB and 9dB to the output power limits and emissions limits for the </w:t>
      </w:r>
      <w:r w:rsidR="00CE0D35">
        <w:t>LA and WA NCR for uplink respectively.</w:t>
      </w:r>
    </w:p>
    <w:p w14:paraId="3B732FFF" w14:textId="77507A6A" w:rsidR="00CE0D35" w:rsidRDefault="00CE0D35" w:rsidP="00A04F49">
      <w:pPr>
        <w:pStyle w:val="BodyText"/>
      </w:pPr>
      <w:r>
        <w:t>The WA NCR class</w:t>
      </w:r>
      <w:r w:rsidR="00F05C09">
        <w:t xml:space="preserve"> </w:t>
      </w:r>
      <w:r w:rsidR="00F85F0B">
        <w:t xml:space="preserve">is based on the WA IAB UL class. The power is not restricted in UL and the emissions may be scaled. For UE based uplink operation, </w:t>
      </w:r>
      <w:r w:rsidR="000057CC">
        <w:t xml:space="preserve">power classes are defined for UEs as well as emissions limits based on co-existence studies. The UE power classes are defined such that the UEs will not be expected to cause degradation to neighbor operator networks. For a WA IAB, it has been accepted that the IAB requirement will not ensure protection of the neighbor operator, since the power and emissions may be significantly higher than the UE UL limits. It </w:t>
      </w:r>
      <w:proofErr w:type="gramStart"/>
      <w:r w:rsidR="000057CC">
        <w:t>has to</w:t>
      </w:r>
      <w:proofErr w:type="gramEnd"/>
      <w:r w:rsidR="000057CC">
        <w:t xml:space="preserve"> be expected that an operator deploying the IAB (or NCR) uses a directional antenna and takes careful account of the positions of other operator BS. Also, the WA IAB/NCR may need to be adjusted if the neighbor operator deploys new BS.</w:t>
      </w:r>
    </w:p>
    <w:p w14:paraId="1FF91D0F" w14:textId="2448D700" w:rsidR="00227818" w:rsidRDefault="000057CC" w:rsidP="00A04F49">
      <w:pPr>
        <w:pStyle w:val="BodyText"/>
      </w:pPr>
      <w:r>
        <w:t xml:space="preserve">The LA IAB class was in principle designed </w:t>
      </w:r>
      <w:r w:rsidR="00A11B79">
        <w:t xml:space="preserve">with the power limited to UE power classes. The expectation for a LA IAB is that, since it has the same characteristics as a UE in UL, it can be deployed without the operator needing to plan </w:t>
      </w:r>
      <w:r w:rsidR="00CE15FE">
        <w:t>its</w:t>
      </w:r>
      <w:r w:rsidR="00BA0815">
        <w:t xml:space="preserve"> position with respect to neighbor operators, as it is not likely to cause more interference than a UE to the neighbor. </w:t>
      </w:r>
      <w:r w:rsidR="00227818">
        <w:t>The LA IAB may in principle be deployed by third parties (</w:t>
      </w:r>
      <w:proofErr w:type="gramStart"/>
      <w:r w:rsidR="00227818">
        <w:t>e.g.</w:t>
      </w:r>
      <w:proofErr w:type="gramEnd"/>
      <w:r w:rsidR="00227818">
        <w:t xml:space="preserve"> customers of the operator). </w:t>
      </w:r>
      <w:r w:rsidR="00BA0815">
        <w:t xml:space="preserve">The IAB specification allows for “scaling” of UL emissions for a LA IAB. This would appear to be a mistake, because relaxing the emissions limits </w:t>
      </w:r>
      <w:r w:rsidR="00227818">
        <w:t>can lead to increased interference towards neighbor operators.</w:t>
      </w:r>
    </w:p>
    <w:p w14:paraId="17B07B69" w14:textId="2EDF051A" w:rsidR="00227818" w:rsidRDefault="00227818" w:rsidP="00A04F49">
      <w:pPr>
        <w:pStyle w:val="BodyText"/>
      </w:pPr>
      <w:r>
        <w:t>The concept of “emissions scaling” was introduced to AAS in Rel-13</w:t>
      </w:r>
      <w:r w:rsidR="00A37917">
        <w:t xml:space="preserve"> and Rel-15. The justification used was that, because the </w:t>
      </w:r>
      <w:r w:rsidR="006A316A">
        <w:t xml:space="preserve">RAN1 </w:t>
      </w:r>
      <w:r w:rsidR="00A37917">
        <w:t>LTE specification at that time</w:t>
      </w:r>
      <w:r w:rsidR="006A316A">
        <w:t xml:space="preserve"> already included 8TX MIMO</w:t>
      </w:r>
      <w:r w:rsidR="00437769">
        <w:t xml:space="preserve"> in DL</w:t>
      </w:r>
      <w:r w:rsidR="006A316A">
        <w:t xml:space="preserve">, in principle BS could have already been deployed with 8 transmitters and </w:t>
      </w:r>
      <w:r w:rsidR="00285DF2">
        <w:t>connector-based</w:t>
      </w:r>
      <w:r w:rsidR="00437769">
        <w:t xml:space="preserve"> requirements. It should be noted that the concept of relaxing emissions requirements by up to 9dB </w:t>
      </w:r>
      <w:r w:rsidR="00181CE6">
        <w:t>for spurious emissions has not been allowed by regulators in many regions.</w:t>
      </w:r>
    </w:p>
    <w:p w14:paraId="2434080F" w14:textId="53F5472C" w:rsidR="00181CE6" w:rsidRDefault="00181CE6" w:rsidP="00A04F49">
      <w:pPr>
        <w:pStyle w:val="BodyText"/>
      </w:pPr>
      <w:r>
        <w:t>For UL, the justification used for relaxing emissions requirements in AAS (DL MIMO) is not applicable.</w:t>
      </w:r>
      <w:r w:rsidR="007407CF">
        <w:t xml:space="preserve"> For at least the LA NCR, we would recommend </w:t>
      </w:r>
      <w:r w:rsidR="00444BD8">
        <w:t>being</w:t>
      </w:r>
      <w:r w:rsidR="0073684C">
        <w:t xml:space="preserve"> very careful to relax emissions requirements in 3GPP, since it is not good to give the impression that 3GPP relaxes requirements on emissions to other systems without adequate justification or study. </w:t>
      </w:r>
      <w:r w:rsidR="00444BD8">
        <w:t>Also,</w:t>
      </w:r>
      <w:r w:rsidR="0073684C">
        <w:t xml:space="preserve"> for in-3GPP band emissions, no study has been performed to establish whether a relaxation of the emissions would have a co-existence effect</w:t>
      </w:r>
      <w:r w:rsidR="007760BD">
        <w:t>. It is worthwhile to bear in mind that UE emissions dominate the UL co-existence performance.</w:t>
      </w:r>
    </w:p>
    <w:p w14:paraId="3E40268F" w14:textId="515E1E8F" w:rsidR="007760BD" w:rsidRDefault="007760BD" w:rsidP="007760BD">
      <w:pPr>
        <w:pStyle w:val="Proposal"/>
      </w:pPr>
      <w:bookmarkStart w:id="3" w:name="_Toc146707938"/>
      <w:r>
        <w:t xml:space="preserve">Do not relax the emissions for an LA NCR without a clear </w:t>
      </w:r>
      <w:proofErr w:type="gramStart"/>
      <w:r>
        <w:t>justification</w:t>
      </w:r>
      <w:bookmarkEnd w:id="3"/>
      <w:proofErr w:type="gramEnd"/>
    </w:p>
    <w:p w14:paraId="22C722ED" w14:textId="57CC5935" w:rsidR="007760BD" w:rsidRDefault="007760BD" w:rsidP="007760BD">
      <w:pPr>
        <w:pStyle w:val="Doc-text2"/>
        <w:ind w:left="0" w:firstLine="0"/>
      </w:pPr>
    </w:p>
    <w:p w14:paraId="5587299C" w14:textId="4313D36A" w:rsidR="007760BD" w:rsidRDefault="007760BD" w:rsidP="007760BD">
      <w:pPr>
        <w:pStyle w:val="Doc-text2"/>
        <w:ind w:left="0" w:firstLine="0"/>
        <w:rPr>
          <w:lang w:val="en-US"/>
        </w:rPr>
      </w:pPr>
      <w:r>
        <w:rPr>
          <w:lang w:val="en-US"/>
        </w:rPr>
        <w:t xml:space="preserve">When considering output power, </w:t>
      </w:r>
      <w:r w:rsidR="000D53A0">
        <w:rPr>
          <w:lang w:val="en-US"/>
        </w:rPr>
        <w:t xml:space="preserve">an increase of 6dB in the output power limit is proposed. If the output power limit is 23dBm then the 6dB increase would allow for up to 29dBm. Since this corresponds to </w:t>
      </w:r>
      <w:r w:rsidR="002704F9">
        <w:rPr>
          <w:lang w:val="en-US"/>
        </w:rPr>
        <w:t>PC1.5</w:t>
      </w:r>
      <w:r w:rsidR="000D53A0">
        <w:rPr>
          <w:lang w:val="en-US"/>
        </w:rPr>
        <w:t>, it may be acceptable</w:t>
      </w:r>
      <w:r w:rsidR="002704F9">
        <w:rPr>
          <w:lang w:val="en-US"/>
        </w:rPr>
        <w:t xml:space="preserve"> in certain bands</w:t>
      </w:r>
      <w:r w:rsidR="000D53A0">
        <w:rPr>
          <w:lang w:val="en-US"/>
        </w:rPr>
        <w:t>, although there is the risk of allowing for high power uplink in bands for which it is not allowed for UEs.</w:t>
      </w:r>
    </w:p>
    <w:p w14:paraId="7A876368" w14:textId="77777777" w:rsidR="002704F9" w:rsidRDefault="002704F9" w:rsidP="007760BD">
      <w:pPr>
        <w:pStyle w:val="Doc-text2"/>
        <w:ind w:left="0" w:firstLine="0"/>
        <w:rPr>
          <w:lang w:val="en-US"/>
        </w:rPr>
      </w:pPr>
    </w:p>
    <w:p w14:paraId="74CF87B9" w14:textId="05009DF9" w:rsidR="002704F9" w:rsidRPr="007760BD" w:rsidRDefault="002704F9" w:rsidP="002704F9">
      <w:pPr>
        <w:pStyle w:val="Proposal"/>
      </w:pPr>
      <w:bookmarkStart w:id="4" w:name="_Toc146707939"/>
      <w:r>
        <w:t xml:space="preserve">Allow 29dBm or 26dBm LA repeater in bands where PC1.5 or PC2 is allowed, but not in other </w:t>
      </w:r>
      <w:proofErr w:type="gramStart"/>
      <w:r>
        <w:t>bands</w:t>
      </w:r>
      <w:bookmarkEnd w:id="4"/>
      <w:proofErr w:type="gramEnd"/>
    </w:p>
    <w:p w14:paraId="20D197DF" w14:textId="77777777" w:rsidR="007760BD" w:rsidRDefault="007760BD" w:rsidP="00A04F49">
      <w:pPr>
        <w:pStyle w:val="BodyText"/>
      </w:pPr>
    </w:p>
    <w:p w14:paraId="1963DDAC" w14:textId="5D9D2AD5" w:rsidR="00F63950" w:rsidRDefault="00230D18" w:rsidP="00F63950">
      <w:pPr>
        <w:pStyle w:val="Heading2"/>
      </w:pPr>
      <w:r>
        <w:t>2.3</w:t>
      </w:r>
      <w:r>
        <w:tab/>
      </w:r>
      <w:r w:rsidR="0033045F">
        <w:t>Scaling factor for OTA EVM and OTA input intermodulation</w:t>
      </w:r>
    </w:p>
    <w:p w14:paraId="7B79C00F" w14:textId="0CCAB207" w:rsidR="00234996" w:rsidRDefault="005914EE" w:rsidP="00A04F49">
      <w:pPr>
        <w:pStyle w:val="BodyText"/>
      </w:pPr>
      <w:r>
        <w:t xml:space="preserve">For the EVM requirement, it is necessary to set a minimum input power level at which the EVM is valid. The approach that has been followed </w:t>
      </w:r>
      <w:r w:rsidR="00321C8F">
        <w:t xml:space="preserve">is to use an antenna gain assumption on top of the conducted minimum input power level to get an OTA input level. It should be noted that it is not completely obvious that such an approach needs to be taken; an alternative would be to investigate an OTA value independently considering deployments, link budgets etc. </w:t>
      </w:r>
      <w:r w:rsidR="0017735D">
        <w:t>However, we will assume an antenna gain factor for the remaining discussion.</w:t>
      </w:r>
    </w:p>
    <w:p w14:paraId="571C690B" w14:textId="09D168C9" w:rsidR="0017735D" w:rsidRDefault="0006660F" w:rsidP="00A04F49">
      <w:pPr>
        <w:pStyle w:val="BodyText"/>
      </w:pPr>
      <w:r>
        <w:lastRenderedPageBreak/>
        <w:t xml:space="preserve">The antenna gain factor to use depends on the structure of the repeater and </w:t>
      </w:r>
      <w:proofErr w:type="gramStart"/>
      <w:r>
        <w:t>in particular whether</w:t>
      </w:r>
      <w:proofErr w:type="gramEnd"/>
      <w:r>
        <w:t xml:space="preserve"> the repeater </w:t>
      </w:r>
      <w:r w:rsidR="002D3C15">
        <w:t>has a beamforming array at the output only, or at the input only, or both at the input or the output. Furthermore, there is a dependency on whether the</w:t>
      </w:r>
      <w:r w:rsidR="00A22177">
        <w:t xml:space="preserve"> noise at the input experiences combining gain at the output or not. A very aggressive means of </w:t>
      </w:r>
      <w:r w:rsidR="00E01A0B">
        <w:t>setting the minimum ou</w:t>
      </w:r>
      <w:r w:rsidR="003040E6">
        <w:t>t</w:t>
      </w:r>
      <w:r w:rsidR="00E01A0B">
        <w:t xml:space="preserve">put level could be based on the full array gain at both the input and the output. However, this would assume uncorrelated noise with no gain and may be difficult to achieve. The WF at RAN4#108 [1] assumed </w:t>
      </w:r>
      <w:r w:rsidR="00373193">
        <w:t>that the sub-array gain is used to translate the conducted level to OTA.</w:t>
      </w:r>
    </w:p>
    <w:p w14:paraId="05363896" w14:textId="2F86374C" w:rsidR="00373193" w:rsidRDefault="00373193" w:rsidP="00A04F49">
      <w:pPr>
        <w:pStyle w:val="BodyText"/>
      </w:pPr>
      <w:r>
        <w:t xml:space="preserve">In the BS specifications, </w:t>
      </w:r>
      <w:r w:rsidR="00B4117D">
        <w:t xml:space="preserve">the sub-array gain is estimated based on the 3dB sensitivity </w:t>
      </w:r>
      <w:proofErr w:type="spellStart"/>
      <w:r w:rsidR="00B4117D">
        <w:t>RoAoA</w:t>
      </w:r>
      <w:proofErr w:type="spellEnd"/>
      <w:r w:rsidR="00B4117D">
        <w:t xml:space="preserve"> and a formula:</w:t>
      </w:r>
    </w:p>
    <w:p w14:paraId="4B0420D8" w14:textId="786CEE2F" w:rsidR="00B4117D" w:rsidRDefault="00B4117D" w:rsidP="00A04F49">
      <w:pPr>
        <w:pStyle w:val="BodyText"/>
      </w:pPr>
    </w:p>
    <w:p w14:paraId="042271BF" w14:textId="6FD96F6C" w:rsidR="00B4117D" w:rsidRDefault="00BF66A0" w:rsidP="00A04F49">
      <w:pPr>
        <w:pStyle w:val="BodyText"/>
        <w:rPr>
          <w:lang w:val="sv-SE"/>
        </w:rPr>
      </w:pPr>
      <w:r w:rsidRPr="00F95B02">
        <w:t>Δ</w:t>
      </w:r>
      <w:r w:rsidRPr="00BF66A0">
        <w:rPr>
          <w:vertAlign w:val="subscript"/>
          <w:lang w:val="sv-SE"/>
        </w:rPr>
        <w:t>OTAREFSENS</w:t>
      </w:r>
      <w:r w:rsidRPr="00BF66A0">
        <w:rPr>
          <w:lang w:val="sv-SE"/>
        </w:rPr>
        <w:t xml:space="preserve"> = 44.1 - 10*log</w:t>
      </w:r>
      <w:r w:rsidRPr="00BF66A0">
        <w:rPr>
          <w:vertAlign w:val="subscript"/>
          <w:lang w:val="sv-SE"/>
        </w:rPr>
        <w:t>10</w:t>
      </w:r>
      <w:r w:rsidRPr="00BF66A0">
        <w:rPr>
          <w:lang w:val="sv-SE"/>
        </w:rPr>
        <w:t>(BeW</w:t>
      </w:r>
      <w:proofErr w:type="gramStart"/>
      <w:r w:rsidRPr="00F95B02">
        <w:rPr>
          <w:rFonts w:ascii="Calibri" w:hAnsi="Calibri"/>
          <w:vertAlign w:val="subscript"/>
        </w:rPr>
        <w:t>θ</w:t>
      </w:r>
      <w:r w:rsidRPr="00BF66A0">
        <w:rPr>
          <w:rFonts w:ascii="Calibri" w:hAnsi="Calibri"/>
          <w:vertAlign w:val="subscript"/>
          <w:lang w:val="sv-SE"/>
        </w:rPr>
        <w:t>,REFSENS</w:t>
      </w:r>
      <w:proofErr w:type="gramEnd"/>
      <w:r w:rsidRPr="00BF66A0">
        <w:rPr>
          <w:rFonts w:ascii="Calibri" w:hAnsi="Calibri"/>
          <w:vertAlign w:val="subscript"/>
          <w:lang w:val="sv-SE"/>
        </w:rPr>
        <w:t>*</w:t>
      </w:r>
      <w:r w:rsidRPr="00BF66A0">
        <w:rPr>
          <w:lang w:val="sv-SE"/>
        </w:rPr>
        <w:t>BeW</w:t>
      </w:r>
      <w:r w:rsidRPr="00F95B02">
        <w:rPr>
          <w:vertAlign w:val="subscript"/>
        </w:rPr>
        <w:t>φ</w:t>
      </w:r>
      <w:r w:rsidRPr="00BF66A0">
        <w:rPr>
          <w:vertAlign w:val="subscript"/>
          <w:lang w:val="sv-SE"/>
        </w:rPr>
        <w:t>,</w:t>
      </w:r>
      <w:r w:rsidRPr="00BF66A0">
        <w:rPr>
          <w:rFonts w:ascii="Calibri" w:hAnsi="Calibri"/>
          <w:vertAlign w:val="subscript"/>
          <w:lang w:val="sv-SE"/>
        </w:rPr>
        <w:t>REFSENS</w:t>
      </w:r>
      <w:r w:rsidRPr="00BF66A0">
        <w:rPr>
          <w:lang w:val="sv-SE"/>
        </w:rPr>
        <w:t>) dB</w:t>
      </w:r>
    </w:p>
    <w:p w14:paraId="30A46266" w14:textId="77777777" w:rsidR="00BF66A0" w:rsidRPr="00BF66A0" w:rsidRDefault="00BF66A0" w:rsidP="00A04F49">
      <w:pPr>
        <w:pStyle w:val="BodyText"/>
        <w:rPr>
          <w:lang w:val="sv-SE"/>
        </w:rPr>
      </w:pPr>
    </w:p>
    <w:p w14:paraId="17950A4C" w14:textId="4AF11612" w:rsidR="00B4117D" w:rsidRDefault="00B4117D" w:rsidP="00A04F49">
      <w:pPr>
        <w:pStyle w:val="BodyText"/>
      </w:pPr>
      <w:r>
        <w:t xml:space="preserve">For the repeater, a 3dB sensitivity </w:t>
      </w:r>
      <w:proofErr w:type="spellStart"/>
      <w:r>
        <w:t>RoAoA</w:t>
      </w:r>
      <w:proofErr w:type="spellEnd"/>
      <w:r>
        <w:t xml:space="preserve"> is not available since the NCR-FWD does not have a receiver</w:t>
      </w:r>
      <w:r w:rsidR="00094C3B">
        <w:t xml:space="preserve"> sensitivity. However, a similar 3dB contour can be obtained by considering the contour of the input signal directions for which the output power level (in output boresight) remains within 3dB of the output signal level when the input signal arrives in input boresight.</w:t>
      </w:r>
    </w:p>
    <w:p w14:paraId="1DE88489" w14:textId="7C3146FF" w:rsidR="00FB305B" w:rsidRDefault="00FB305B" w:rsidP="00A04F49">
      <w:pPr>
        <w:pStyle w:val="BodyText"/>
      </w:pPr>
    </w:p>
    <w:p w14:paraId="097D8C91" w14:textId="47B08071" w:rsidR="00FB305B" w:rsidRDefault="00FB305B" w:rsidP="00FB305B">
      <w:pPr>
        <w:pStyle w:val="Proposal"/>
      </w:pPr>
      <w:bookmarkStart w:id="5" w:name="_Toc146707940"/>
      <w:r>
        <w:t xml:space="preserve">Define an input 3dB </w:t>
      </w:r>
      <w:proofErr w:type="spellStart"/>
      <w:r>
        <w:t>RoAoA</w:t>
      </w:r>
      <w:proofErr w:type="spellEnd"/>
      <w:r>
        <w:t xml:space="preserve"> based on the contour of the input signal directions for which the output power level (in output boresight) remains within 3dB of the output signal level when the input signal arrives in input boresight.</w:t>
      </w:r>
      <w:bookmarkEnd w:id="5"/>
    </w:p>
    <w:p w14:paraId="593C3868" w14:textId="3BD6D08C" w:rsidR="00FB305B" w:rsidRDefault="00FB305B" w:rsidP="00FB305B">
      <w:pPr>
        <w:pStyle w:val="Doc-text2"/>
        <w:ind w:left="0" w:firstLine="0"/>
      </w:pPr>
    </w:p>
    <w:p w14:paraId="3B0B4BE6" w14:textId="37901317" w:rsidR="00FB305B" w:rsidRDefault="00FB305B" w:rsidP="00FB305B">
      <w:pPr>
        <w:pStyle w:val="Proposal"/>
      </w:pPr>
      <w:bookmarkStart w:id="6" w:name="_Toc146707941"/>
      <w:r>
        <w:t xml:space="preserve">The EVM minimum input level is (conducted level) – (Sub-array gain based on input </w:t>
      </w:r>
      <w:proofErr w:type="spellStart"/>
      <w:r>
        <w:t>RoAoA</w:t>
      </w:r>
      <w:proofErr w:type="spellEnd"/>
      <w:r>
        <w:t>)</w:t>
      </w:r>
      <w:bookmarkEnd w:id="6"/>
    </w:p>
    <w:p w14:paraId="6D7E8C50" w14:textId="20EB5CEB" w:rsidR="00FB305B" w:rsidRDefault="00FB305B" w:rsidP="00FB305B">
      <w:pPr>
        <w:pStyle w:val="Doc-text2"/>
        <w:ind w:left="0" w:firstLine="0"/>
        <w:rPr>
          <w:lang w:val="en-US"/>
        </w:rPr>
      </w:pPr>
    </w:p>
    <w:p w14:paraId="005858CD" w14:textId="6FDD197E" w:rsidR="00FB305B" w:rsidRDefault="00FB305B" w:rsidP="00FB305B">
      <w:pPr>
        <w:pStyle w:val="Doc-text2"/>
        <w:ind w:left="0" w:firstLine="0"/>
        <w:rPr>
          <w:lang w:val="en-US"/>
        </w:rPr>
      </w:pPr>
      <w:r>
        <w:rPr>
          <w:lang w:val="en-US"/>
        </w:rPr>
        <w:t xml:space="preserve">For the input intermodulation, a similar consideration applies. In principle, the OTA levels for the input intermodulation could be </w:t>
      </w:r>
      <w:r w:rsidR="00435775">
        <w:rPr>
          <w:lang w:val="en-US"/>
        </w:rPr>
        <w:t>derived independently of the conducted levels based on considerations on needed linearity and potentially link budgets. However, we assume a translation of conducted levels based on an assumed antenna gain.</w:t>
      </w:r>
    </w:p>
    <w:p w14:paraId="1027DC74" w14:textId="77777777" w:rsidR="00A81BAF" w:rsidRDefault="00A81BAF" w:rsidP="00FB305B">
      <w:pPr>
        <w:pStyle w:val="Doc-text2"/>
        <w:ind w:left="0" w:firstLine="0"/>
        <w:rPr>
          <w:lang w:val="en-US"/>
        </w:rPr>
      </w:pPr>
    </w:p>
    <w:p w14:paraId="5C685499" w14:textId="06B5E099" w:rsidR="00435775" w:rsidRDefault="00435775" w:rsidP="00FB305B">
      <w:pPr>
        <w:pStyle w:val="Doc-text2"/>
        <w:ind w:left="0" w:firstLine="0"/>
        <w:rPr>
          <w:lang w:val="en-US"/>
        </w:rPr>
      </w:pPr>
      <w:r>
        <w:rPr>
          <w:lang w:val="en-US"/>
        </w:rPr>
        <w:t xml:space="preserve">The input </w:t>
      </w:r>
      <w:r w:rsidR="00E57415">
        <w:rPr>
          <w:lang w:val="en-US"/>
        </w:rPr>
        <w:t xml:space="preserve">intermodulation signal will </w:t>
      </w:r>
      <w:r w:rsidR="000C1CA9">
        <w:rPr>
          <w:lang w:val="en-US"/>
        </w:rPr>
        <w:t>be experienced at the input to each input TRX</w:t>
      </w:r>
      <w:r w:rsidR="00A81BAF">
        <w:rPr>
          <w:lang w:val="en-US"/>
        </w:rPr>
        <w:t>. Hence, the gain that should be applied for the input intermodulation should be the gain in front of each TRX, which will be the sub-array gain.</w:t>
      </w:r>
    </w:p>
    <w:p w14:paraId="0A760662" w14:textId="6CDF84F0" w:rsidR="00A81BAF" w:rsidRDefault="00A81BAF" w:rsidP="00FB305B">
      <w:pPr>
        <w:pStyle w:val="Doc-text2"/>
        <w:ind w:left="0" w:firstLine="0"/>
        <w:rPr>
          <w:lang w:val="en-US"/>
        </w:rPr>
      </w:pPr>
    </w:p>
    <w:p w14:paraId="55FBD2E3" w14:textId="50D4A7EC" w:rsidR="00A81BAF" w:rsidRPr="00FB305B" w:rsidRDefault="00A81BAF" w:rsidP="00A81BAF">
      <w:pPr>
        <w:pStyle w:val="Proposal"/>
      </w:pPr>
      <w:bookmarkStart w:id="7" w:name="_Toc146707942"/>
      <w:r>
        <w:t>For input intermodulation, apply the sub-array gain</w:t>
      </w:r>
      <w:r w:rsidR="00B853F7">
        <w:t xml:space="preserve"> calculated in the manner described in proposals 4-5.</w:t>
      </w:r>
      <w:bookmarkEnd w:id="7"/>
    </w:p>
    <w:p w14:paraId="768B3C76" w14:textId="77777777" w:rsidR="00DC0305" w:rsidRDefault="00DC0305" w:rsidP="00DC0305">
      <w:pPr>
        <w:rPr>
          <w:lang w:val="en-GB" w:eastAsia="ja-JP"/>
        </w:rPr>
      </w:pPr>
    </w:p>
    <w:p w14:paraId="4A7551FB" w14:textId="66DA97F4" w:rsidR="00FA548A" w:rsidRDefault="00DC0305" w:rsidP="00FA548A">
      <w:pPr>
        <w:pStyle w:val="Heading2"/>
      </w:pPr>
      <w:r>
        <w:t>2.4</w:t>
      </w:r>
      <w:r>
        <w:tab/>
        <w:t>Requirements definition for type 1-H NCR FWD</w:t>
      </w:r>
      <w:r w:rsidR="00FA548A">
        <w:t xml:space="preserve"> and mixed NCR types on BS/UE side</w:t>
      </w:r>
    </w:p>
    <w:p w14:paraId="21290BFC" w14:textId="77777777" w:rsidR="00FA548A" w:rsidRDefault="00FA548A" w:rsidP="00FA548A">
      <w:pPr>
        <w:rPr>
          <w:lang w:val="en-GB" w:eastAsia="ja-JP"/>
        </w:rPr>
      </w:pPr>
    </w:p>
    <w:p w14:paraId="0C37E4DE" w14:textId="77777777" w:rsidR="00DC0305" w:rsidRDefault="00FA548A" w:rsidP="00DC0305">
      <w:pPr>
        <w:rPr>
          <w:lang w:val="en-GB" w:eastAsia="ja-JP"/>
        </w:rPr>
      </w:pPr>
      <w:r>
        <w:rPr>
          <w:lang w:val="en-GB" w:eastAsia="ja-JP"/>
        </w:rPr>
        <w:t>An NCR-type 1-H consists of an array with multiple TAB connectors. Unlike a BS, an NCR-FWD has both an input and an ou</w:t>
      </w:r>
      <w:r w:rsidR="003914A4">
        <w:rPr>
          <w:lang w:val="en-GB" w:eastAsia="ja-JP"/>
        </w:rPr>
        <w:t>t</w:t>
      </w:r>
      <w:r>
        <w:rPr>
          <w:lang w:val="en-GB" w:eastAsia="ja-JP"/>
        </w:rPr>
        <w:t xml:space="preserve">put. </w:t>
      </w:r>
      <w:r w:rsidR="003914A4">
        <w:rPr>
          <w:lang w:val="en-GB" w:eastAsia="ja-JP"/>
        </w:rPr>
        <w:t xml:space="preserve">This gives rise to a question in how to relate the input and output. </w:t>
      </w:r>
    </w:p>
    <w:p w14:paraId="790143FB" w14:textId="77777777" w:rsidR="003914A4" w:rsidRDefault="003914A4" w:rsidP="00DC0305">
      <w:pPr>
        <w:rPr>
          <w:lang w:val="en-GB" w:eastAsia="ja-JP"/>
        </w:rPr>
      </w:pPr>
      <w:r>
        <w:rPr>
          <w:lang w:val="en-GB" w:eastAsia="ja-JP"/>
        </w:rPr>
        <w:t xml:space="preserve">An NCR type 1-H may consist of </w:t>
      </w:r>
      <w:proofErr w:type="gramStart"/>
      <w:r>
        <w:rPr>
          <w:lang w:val="en-GB" w:eastAsia="ja-JP"/>
        </w:rPr>
        <w:t>a number of</w:t>
      </w:r>
      <w:proofErr w:type="gramEnd"/>
      <w:r>
        <w:rPr>
          <w:lang w:val="en-GB" w:eastAsia="ja-JP"/>
        </w:rPr>
        <w:t xml:space="preserve"> input TAB connectors and a number of output TAB connectors. In-between the TAB connectors, there may be </w:t>
      </w:r>
      <w:r w:rsidR="0018570D">
        <w:rPr>
          <w:lang w:val="en-GB" w:eastAsia="ja-JP"/>
        </w:rPr>
        <w:t>beamforming, combining, splitting etc.</w:t>
      </w:r>
    </w:p>
    <w:p w14:paraId="6BA63E21" w14:textId="77777777" w:rsidR="0018570D" w:rsidRDefault="0018570D" w:rsidP="00DC0305">
      <w:pPr>
        <w:rPr>
          <w:lang w:val="en-GB" w:eastAsia="ja-JP"/>
        </w:rPr>
      </w:pPr>
    </w:p>
    <w:p w14:paraId="0CF0FFBF" w14:textId="150CA237" w:rsidR="0018570D" w:rsidRDefault="00B226E7" w:rsidP="00DC0305">
      <w:pPr>
        <w:rPr>
          <w:lang w:val="en-GB" w:eastAsia="ja-JP"/>
        </w:rPr>
      </w:pPr>
      <w:r>
        <w:rPr>
          <w:noProof/>
          <w:lang w:val="en-GB" w:eastAsia="ja-JP"/>
        </w:rPr>
        <w:lastRenderedPageBreak/>
        <w:drawing>
          <wp:inline distT="0" distB="0" distL="0" distR="0" wp14:anchorId="1FD519A0" wp14:editId="03EF7949">
            <wp:extent cx="7376795" cy="221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76795" cy="2212975"/>
                    </a:xfrm>
                    <a:prstGeom prst="rect">
                      <a:avLst/>
                    </a:prstGeom>
                    <a:noFill/>
                  </pic:spPr>
                </pic:pic>
              </a:graphicData>
            </a:graphic>
          </wp:inline>
        </w:drawing>
      </w:r>
    </w:p>
    <w:p w14:paraId="33CE836D" w14:textId="77777777" w:rsidR="0018570D" w:rsidRDefault="0018570D" w:rsidP="0018570D">
      <w:pPr>
        <w:rPr>
          <w:lang w:val="en-GB" w:eastAsia="ja-JP"/>
        </w:rPr>
      </w:pPr>
    </w:p>
    <w:p w14:paraId="425C7A3A" w14:textId="2C2E9877" w:rsidR="0018570D" w:rsidRDefault="004F796E" w:rsidP="0018570D">
      <w:pPr>
        <w:rPr>
          <w:lang w:val="en-GB" w:eastAsia="ja-JP"/>
        </w:rPr>
      </w:pPr>
      <w:r>
        <w:rPr>
          <w:lang w:val="en-GB" w:eastAsia="ja-JP"/>
        </w:rPr>
        <w:t>Several</w:t>
      </w:r>
      <w:r w:rsidR="0068302B">
        <w:rPr>
          <w:lang w:val="en-GB" w:eastAsia="ja-JP"/>
        </w:rPr>
        <w:t xml:space="preserve"> core requirements are defined assuming a </w:t>
      </w:r>
      <w:proofErr w:type="gramStart"/>
      <w:r w:rsidR="0068302B">
        <w:rPr>
          <w:lang w:val="en-GB" w:eastAsia="ja-JP"/>
        </w:rPr>
        <w:t xml:space="preserve">relationship </w:t>
      </w:r>
      <w:r w:rsidR="00343B12">
        <w:rPr>
          <w:lang w:val="en-GB" w:eastAsia="ja-JP"/>
        </w:rPr>
        <w:t xml:space="preserve"> between</w:t>
      </w:r>
      <w:proofErr w:type="gramEnd"/>
      <w:r w:rsidR="00343B12">
        <w:rPr>
          <w:lang w:val="en-GB" w:eastAsia="ja-JP"/>
        </w:rPr>
        <w:t xml:space="preserve"> an output and in input TAB connector, including:</w:t>
      </w:r>
    </w:p>
    <w:p w14:paraId="3528CA4E" w14:textId="30257394" w:rsidR="001768FF" w:rsidRDefault="001768FF" w:rsidP="001768FF">
      <w:pPr>
        <w:pStyle w:val="ListParagraph"/>
        <w:numPr>
          <w:ilvl w:val="0"/>
          <w:numId w:val="24"/>
        </w:numPr>
        <w:rPr>
          <w:lang w:val="en-GB" w:eastAsia="ja-JP"/>
        </w:rPr>
      </w:pPr>
      <w:r>
        <w:rPr>
          <w:lang w:val="en-GB" w:eastAsia="ja-JP"/>
        </w:rPr>
        <w:t>Frequency stability</w:t>
      </w:r>
    </w:p>
    <w:p w14:paraId="6AF39971" w14:textId="5FD6F21A" w:rsidR="001768FF" w:rsidRDefault="001768FF" w:rsidP="001768FF">
      <w:pPr>
        <w:pStyle w:val="ListParagraph"/>
        <w:numPr>
          <w:ilvl w:val="0"/>
          <w:numId w:val="24"/>
        </w:numPr>
        <w:rPr>
          <w:lang w:val="en-GB" w:eastAsia="ja-JP"/>
        </w:rPr>
      </w:pPr>
      <w:r>
        <w:rPr>
          <w:lang w:val="en-GB" w:eastAsia="ja-JP"/>
        </w:rPr>
        <w:t>Out of band gain</w:t>
      </w:r>
    </w:p>
    <w:p w14:paraId="6DE08590" w14:textId="60B70FC2" w:rsidR="001768FF" w:rsidRDefault="004F796E" w:rsidP="001768FF">
      <w:pPr>
        <w:pStyle w:val="ListParagraph"/>
        <w:numPr>
          <w:ilvl w:val="0"/>
          <w:numId w:val="24"/>
        </w:numPr>
        <w:rPr>
          <w:lang w:val="en-GB" w:eastAsia="ja-JP"/>
        </w:rPr>
      </w:pPr>
      <w:r>
        <w:rPr>
          <w:lang w:val="en-GB" w:eastAsia="ja-JP"/>
        </w:rPr>
        <w:t>Repeater EVM</w:t>
      </w:r>
    </w:p>
    <w:p w14:paraId="7CCCCE31" w14:textId="31362087" w:rsidR="004F796E" w:rsidRDefault="004F796E" w:rsidP="001768FF">
      <w:pPr>
        <w:pStyle w:val="ListParagraph"/>
        <w:numPr>
          <w:ilvl w:val="0"/>
          <w:numId w:val="24"/>
        </w:numPr>
        <w:rPr>
          <w:lang w:val="en-GB" w:eastAsia="ja-JP"/>
        </w:rPr>
      </w:pPr>
      <w:r>
        <w:rPr>
          <w:lang w:val="en-GB" w:eastAsia="ja-JP"/>
        </w:rPr>
        <w:t>Input Intermodulation</w:t>
      </w:r>
    </w:p>
    <w:p w14:paraId="5522581D" w14:textId="49F7F185" w:rsidR="004F796E" w:rsidRPr="001768FF" w:rsidRDefault="004F796E" w:rsidP="001768FF">
      <w:pPr>
        <w:pStyle w:val="ListParagraph"/>
        <w:numPr>
          <w:ilvl w:val="0"/>
          <w:numId w:val="24"/>
        </w:numPr>
        <w:rPr>
          <w:lang w:val="en-GB" w:eastAsia="ja-JP"/>
        </w:rPr>
      </w:pPr>
      <w:r>
        <w:rPr>
          <w:lang w:val="en-GB" w:eastAsia="ja-JP"/>
        </w:rPr>
        <w:t>ACRR</w:t>
      </w:r>
    </w:p>
    <w:p w14:paraId="639C1BF6" w14:textId="77777777" w:rsidR="001768FF" w:rsidRDefault="001768FF" w:rsidP="0018570D">
      <w:pPr>
        <w:rPr>
          <w:lang w:val="en-GB" w:eastAsia="ja-JP"/>
        </w:rPr>
      </w:pPr>
    </w:p>
    <w:p w14:paraId="6EF901A3" w14:textId="77777777" w:rsidR="004F796E" w:rsidRDefault="00BF2157" w:rsidP="001768FF">
      <w:pPr>
        <w:rPr>
          <w:lang w:val="en-GB" w:eastAsia="ja-JP"/>
        </w:rPr>
      </w:pPr>
      <w:r>
        <w:rPr>
          <w:lang w:val="en-GB" w:eastAsia="ja-JP"/>
        </w:rPr>
        <w:t>There is a need to describe how the relationship   between input and output connectors is assumed. Alternatively, the requirement needs to be expressed as a relationship between an input at all connectors and a composite output at all connectors.</w:t>
      </w:r>
    </w:p>
    <w:p w14:paraId="20D77705" w14:textId="77777777" w:rsidR="00BF2157" w:rsidRDefault="00BF2157" w:rsidP="001768FF">
      <w:pPr>
        <w:rPr>
          <w:lang w:val="en-GB" w:eastAsia="ja-JP"/>
        </w:rPr>
      </w:pPr>
      <w:r>
        <w:rPr>
          <w:lang w:val="en-GB" w:eastAsia="ja-JP"/>
        </w:rPr>
        <w:t>The same consideration applies if the repeater would be mixed types. If there would be a 1-C input (possibly with more than one antenna connector) and a 1-H output or a 1-H input and a 1-C output (possibly with more than one antenna connector) then the relationship between individual TAB connectors and antenna connectors is ambiguous.</w:t>
      </w:r>
    </w:p>
    <w:p w14:paraId="138A1F9E" w14:textId="77777777" w:rsidR="00BF2157" w:rsidRDefault="00BF2157" w:rsidP="001768FF">
      <w:pPr>
        <w:rPr>
          <w:lang w:val="en-GB" w:eastAsia="ja-JP"/>
        </w:rPr>
      </w:pPr>
    </w:p>
    <w:p w14:paraId="76045DB3" w14:textId="29252280" w:rsidR="00BF2157" w:rsidRDefault="002D4216" w:rsidP="001768FF">
      <w:pPr>
        <w:rPr>
          <w:lang w:val="en-GB" w:eastAsia="ja-JP"/>
        </w:rPr>
      </w:pPr>
      <w:r>
        <w:rPr>
          <w:noProof/>
          <w:lang w:val="en-GB" w:eastAsia="ja-JP"/>
        </w:rPr>
        <w:drawing>
          <wp:inline distT="0" distB="0" distL="0" distR="0" wp14:anchorId="5972800D" wp14:editId="5C399C11">
            <wp:extent cx="7322185" cy="2487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22185" cy="2487295"/>
                    </a:xfrm>
                    <a:prstGeom prst="rect">
                      <a:avLst/>
                    </a:prstGeom>
                    <a:noFill/>
                  </pic:spPr>
                </pic:pic>
              </a:graphicData>
            </a:graphic>
          </wp:inline>
        </w:drawing>
      </w:r>
    </w:p>
    <w:p w14:paraId="53B34BD5" w14:textId="77777777" w:rsidR="00BF2157" w:rsidRDefault="00BF2157" w:rsidP="001768FF">
      <w:pPr>
        <w:rPr>
          <w:lang w:val="en-GB" w:eastAsia="ja-JP"/>
        </w:rPr>
      </w:pPr>
    </w:p>
    <w:p w14:paraId="29F832D0" w14:textId="071F3986" w:rsidR="00BF2157" w:rsidRDefault="00BF2157" w:rsidP="00BF2157">
      <w:pPr>
        <w:pStyle w:val="Proposal"/>
        <w:rPr>
          <w:lang w:val="en-GB"/>
        </w:rPr>
      </w:pPr>
      <w:bookmarkStart w:id="8" w:name="_Toc146707943"/>
      <w:r>
        <w:rPr>
          <w:lang w:val="en-GB"/>
        </w:rPr>
        <w:lastRenderedPageBreak/>
        <w:t>RAN4 needs to discuss and clarify how input and output connectors are linked for NCR type 1-</w:t>
      </w:r>
      <w:proofErr w:type="gramStart"/>
      <w:r>
        <w:rPr>
          <w:lang w:val="en-GB"/>
        </w:rPr>
        <w:t>H, or</w:t>
      </w:r>
      <w:proofErr w:type="gramEnd"/>
      <w:r>
        <w:rPr>
          <w:lang w:val="en-GB"/>
        </w:rPr>
        <w:t xml:space="preserve"> define requirements between the composite signal at all input and all output connectors.</w:t>
      </w:r>
      <w:bookmarkEnd w:id="8"/>
    </w:p>
    <w:p w14:paraId="52561361" w14:textId="77777777" w:rsidR="00BF2157" w:rsidRDefault="00BF2157" w:rsidP="001768FF">
      <w:pPr>
        <w:rPr>
          <w:lang w:val="en-GB" w:eastAsia="ja-JP"/>
        </w:rPr>
      </w:pPr>
    </w:p>
    <w:p w14:paraId="37EB5693" w14:textId="77777777" w:rsidR="00C01F33" w:rsidRPr="00CE0424" w:rsidRDefault="00C01F33" w:rsidP="00CE0424">
      <w:pPr>
        <w:pStyle w:val="Heading1"/>
      </w:pPr>
      <w:r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EF038A" w14:textId="3CE5AE4C" w:rsidR="004874B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07936" w:history="1">
        <w:r w:rsidR="004874B8" w:rsidRPr="008A43FC">
          <w:rPr>
            <w:rStyle w:val="Hyperlink"/>
            <w:noProof/>
          </w:rPr>
          <w:t>Proposal 1</w:t>
        </w:r>
        <w:r w:rsidR="004874B8">
          <w:rPr>
            <w:rFonts w:asciiTheme="minorHAnsi" w:eastAsiaTheme="minorEastAsia" w:hAnsiTheme="minorHAnsi"/>
            <w:b w:val="0"/>
            <w:noProof/>
            <w:sz w:val="22"/>
            <w:lang w:val="en-SE" w:eastAsia="en-SE"/>
          </w:rPr>
          <w:tab/>
        </w:r>
        <w:r w:rsidR="004874B8" w:rsidRPr="008A43FC">
          <w:rPr>
            <w:rStyle w:val="Hyperlink"/>
            <w:noProof/>
          </w:rPr>
          <w:t>For simultaneous transmission of NCR-MT and NCR-FWD, the unwanted emissions limits and the spurious emissions limits should be the same as those of the Rel-17 repeater.</w:t>
        </w:r>
      </w:hyperlink>
    </w:p>
    <w:p w14:paraId="3D676A73" w14:textId="3D339211"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37" w:history="1">
        <w:r w:rsidRPr="008A43FC">
          <w:rPr>
            <w:rStyle w:val="Hyperlink"/>
            <w:noProof/>
          </w:rPr>
          <w:t>Proposal 2</w:t>
        </w:r>
        <w:r>
          <w:rPr>
            <w:rFonts w:asciiTheme="minorHAnsi" w:eastAsiaTheme="minorEastAsia" w:hAnsiTheme="minorHAnsi"/>
            <w:b w:val="0"/>
            <w:noProof/>
            <w:sz w:val="22"/>
            <w:lang w:val="en-SE" w:eastAsia="en-SE"/>
          </w:rPr>
          <w:tab/>
        </w:r>
        <w:r w:rsidRPr="008A43FC">
          <w:rPr>
            <w:rStyle w:val="Hyperlink"/>
            <w:noProof/>
          </w:rPr>
          <w:t>For simultaneous reception of NCR-MT and NCR-FWD in DL, where RX spurious emissions are applicable and measurable the Rel-17 spurious emissions limit should be applied to the sum emissions from the FWD and MT.</w:t>
        </w:r>
      </w:hyperlink>
    </w:p>
    <w:p w14:paraId="436B82C9" w14:textId="44B2966A"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38" w:history="1">
        <w:r w:rsidRPr="008A43FC">
          <w:rPr>
            <w:rStyle w:val="Hyperlink"/>
            <w:noProof/>
          </w:rPr>
          <w:t>Proposal 3</w:t>
        </w:r>
        <w:r>
          <w:rPr>
            <w:rFonts w:asciiTheme="minorHAnsi" w:eastAsiaTheme="minorEastAsia" w:hAnsiTheme="minorHAnsi"/>
            <w:b w:val="0"/>
            <w:noProof/>
            <w:sz w:val="22"/>
            <w:lang w:val="en-SE" w:eastAsia="en-SE"/>
          </w:rPr>
          <w:tab/>
        </w:r>
        <w:r w:rsidRPr="008A43FC">
          <w:rPr>
            <w:rStyle w:val="Hyperlink"/>
            <w:noProof/>
          </w:rPr>
          <w:t>Do not relax the emissions for an LA NCR without a clear justification</w:t>
        </w:r>
      </w:hyperlink>
    </w:p>
    <w:p w14:paraId="0E853E07" w14:textId="696E50C3"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39" w:history="1">
        <w:r w:rsidRPr="008A43FC">
          <w:rPr>
            <w:rStyle w:val="Hyperlink"/>
            <w:noProof/>
          </w:rPr>
          <w:t>Proposal 4</w:t>
        </w:r>
        <w:r>
          <w:rPr>
            <w:rFonts w:asciiTheme="minorHAnsi" w:eastAsiaTheme="minorEastAsia" w:hAnsiTheme="minorHAnsi"/>
            <w:b w:val="0"/>
            <w:noProof/>
            <w:sz w:val="22"/>
            <w:lang w:val="en-SE" w:eastAsia="en-SE"/>
          </w:rPr>
          <w:tab/>
        </w:r>
        <w:r w:rsidRPr="008A43FC">
          <w:rPr>
            <w:rStyle w:val="Hyperlink"/>
            <w:noProof/>
          </w:rPr>
          <w:t>Allow 29dBm or 26dBm LA repeater in bands where PC1.5 or PC2 is allowed, but not in other bands</w:t>
        </w:r>
      </w:hyperlink>
    </w:p>
    <w:p w14:paraId="28A94053" w14:textId="25ECC3A7"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40" w:history="1">
        <w:r w:rsidRPr="008A43FC">
          <w:rPr>
            <w:rStyle w:val="Hyperlink"/>
            <w:noProof/>
          </w:rPr>
          <w:t>Proposal 5</w:t>
        </w:r>
        <w:r>
          <w:rPr>
            <w:rFonts w:asciiTheme="minorHAnsi" w:eastAsiaTheme="minorEastAsia" w:hAnsiTheme="minorHAnsi"/>
            <w:b w:val="0"/>
            <w:noProof/>
            <w:sz w:val="22"/>
            <w:lang w:val="en-SE" w:eastAsia="en-SE"/>
          </w:rPr>
          <w:tab/>
        </w:r>
        <w:r w:rsidRPr="008A43FC">
          <w:rPr>
            <w:rStyle w:val="Hyperlink"/>
            <w:noProof/>
          </w:rPr>
          <w:t>Define an input 3dB RoAoA based on the contour of the input signal directions for which the output power level (in output boresight) remains within 3dB of the output signal level when the input signal arrives in input boresight.</w:t>
        </w:r>
      </w:hyperlink>
    </w:p>
    <w:p w14:paraId="00158952" w14:textId="25C855DE"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41" w:history="1">
        <w:r w:rsidRPr="008A43FC">
          <w:rPr>
            <w:rStyle w:val="Hyperlink"/>
            <w:noProof/>
          </w:rPr>
          <w:t>Proposal 6</w:t>
        </w:r>
        <w:r>
          <w:rPr>
            <w:rFonts w:asciiTheme="minorHAnsi" w:eastAsiaTheme="minorEastAsia" w:hAnsiTheme="minorHAnsi"/>
            <w:b w:val="0"/>
            <w:noProof/>
            <w:sz w:val="22"/>
            <w:lang w:val="en-SE" w:eastAsia="en-SE"/>
          </w:rPr>
          <w:tab/>
        </w:r>
        <w:r w:rsidRPr="008A43FC">
          <w:rPr>
            <w:rStyle w:val="Hyperlink"/>
            <w:noProof/>
          </w:rPr>
          <w:t>The EVM minimum input level is (conducted level) – (Sub-array gain based on input RoAoA)</w:t>
        </w:r>
      </w:hyperlink>
    </w:p>
    <w:p w14:paraId="5541C81C" w14:textId="4D048B3D"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42" w:history="1">
        <w:r w:rsidRPr="008A43FC">
          <w:rPr>
            <w:rStyle w:val="Hyperlink"/>
            <w:noProof/>
          </w:rPr>
          <w:t>Proposal 7</w:t>
        </w:r>
        <w:r>
          <w:rPr>
            <w:rFonts w:asciiTheme="minorHAnsi" w:eastAsiaTheme="minorEastAsia" w:hAnsiTheme="minorHAnsi"/>
            <w:b w:val="0"/>
            <w:noProof/>
            <w:sz w:val="22"/>
            <w:lang w:val="en-SE" w:eastAsia="en-SE"/>
          </w:rPr>
          <w:tab/>
        </w:r>
        <w:r w:rsidRPr="008A43FC">
          <w:rPr>
            <w:rStyle w:val="Hyperlink"/>
            <w:noProof/>
          </w:rPr>
          <w:t>For input intermodulation, apply the sub-array gain calculated in the manner described in proposals 4-5.</w:t>
        </w:r>
      </w:hyperlink>
    </w:p>
    <w:p w14:paraId="57A6B24A" w14:textId="41131676" w:rsidR="004874B8" w:rsidRDefault="004874B8">
      <w:pPr>
        <w:pStyle w:val="TableofFigures"/>
        <w:tabs>
          <w:tab w:val="right" w:leader="dot" w:pos="9629"/>
        </w:tabs>
        <w:rPr>
          <w:rFonts w:asciiTheme="minorHAnsi" w:eastAsiaTheme="minorEastAsia" w:hAnsiTheme="minorHAnsi"/>
          <w:b w:val="0"/>
          <w:noProof/>
          <w:sz w:val="22"/>
          <w:lang w:val="en-SE" w:eastAsia="en-SE"/>
        </w:rPr>
      </w:pPr>
      <w:hyperlink w:anchor="_Toc146707943" w:history="1">
        <w:r w:rsidRPr="008A43FC">
          <w:rPr>
            <w:rStyle w:val="Hyperlink"/>
            <w:noProof/>
            <w:lang w:val="en-GB"/>
          </w:rPr>
          <w:t>Proposal 8</w:t>
        </w:r>
        <w:r>
          <w:rPr>
            <w:rFonts w:asciiTheme="minorHAnsi" w:eastAsiaTheme="minorEastAsia" w:hAnsiTheme="minorHAnsi"/>
            <w:b w:val="0"/>
            <w:noProof/>
            <w:sz w:val="22"/>
            <w:lang w:val="en-SE" w:eastAsia="en-SE"/>
          </w:rPr>
          <w:tab/>
        </w:r>
        <w:r w:rsidRPr="008A43FC">
          <w:rPr>
            <w:rStyle w:val="Hyperlink"/>
            <w:noProof/>
            <w:lang w:val="en-GB"/>
          </w:rPr>
          <w:t>RAN4 needs to discuss and clarify how input and output connectors are linked for NCR type 1-H, or define requirements between the composite signal at all input and all output connectors.</w:t>
        </w:r>
      </w:hyperlink>
    </w:p>
    <w:p w14:paraId="747C743C" w14:textId="31129960"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D79D99" w14:textId="77777777" w:rsidR="00F507D1" w:rsidRPr="00CE0424" w:rsidRDefault="00F507D1" w:rsidP="00CE0424">
      <w:pPr>
        <w:pStyle w:val="Heading1"/>
      </w:pPr>
      <w:bookmarkStart w:id="9" w:name="_In-sequence_SDU_delivery"/>
      <w:bookmarkEnd w:id="9"/>
      <w:r w:rsidRPr="00CE0424">
        <w:t>References</w:t>
      </w:r>
    </w:p>
    <w:p w14:paraId="77C5E852" w14:textId="6FC4AAEA" w:rsidR="005F3025" w:rsidRPr="00CE0424" w:rsidRDefault="00EC10D0" w:rsidP="00311702">
      <w:pPr>
        <w:pStyle w:val="Reference"/>
      </w:pPr>
      <w:bookmarkStart w:id="10" w:name="_Ref174151459"/>
      <w:bookmarkStart w:id="11" w:name="_Ref189809556"/>
      <w:r>
        <w:t>R4-2313903</w:t>
      </w:r>
      <w:r w:rsidR="005F3025" w:rsidRPr="00CE0424">
        <w:t xml:space="preserve">, </w:t>
      </w:r>
      <w:r w:rsidR="0098694E" w:rsidRPr="0098694E">
        <w:t>WF on NCR RF requirements</w:t>
      </w:r>
      <w:r w:rsidR="005F3025" w:rsidRPr="00CE0424">
        <w:t xml:space="preserve">, </w:t>
      </w:r>
      <w:r w:rsidR="0098694E">
        <w:t>ZTE</w:t>
      </w:r>
      <w:r w:rsidR="005F3025" w:rsidRPr="00CE0424">
        <w:t xml:space="preserve">, </w:t>
      </w:r>
      <w:r w:rsidR="0098694E">
        <w:t>RAN4#108</w:t>
      </w:r>
      <w:r w:rsidR="005F3025" w:rsidRPr="00CE0424">
        <w:t xml:space="preserve">, </w:t>
      </w:r>
      <w:r w:rsidR="0098694E">
        <w:t>August 2023</w:t>
      </w:r>
    </w:p>
    <w:bookmarkEnd w:id="10"/>
    <w:bookmarkEnd w:id="11"/>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803528"/>
    <w:multiLevelType w:val="hybridMultilevel"/>
    <w:tmpl w:val="D81C6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F17761"/>
    <w:multiLevelType w:val="hybridMultilevel"/>
    <w:tmpl w:val="382C5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0"/>
  </w:num>
  <w:num w:numId="23" w16cid:durableId="79722977">
    <w:abstractNumId w:val="23"/>
  </w:num>
  <w:num w:numId="24" w16cid:durableId="19176641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57C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9AE"/>
    <w:rsid w:val="00065E1A"/>
    <w:rsid w:val="0006660F"/>
    <w:rsid w:val="00077E5F"/>
    <w:rsid w:val="0008036A"/>
    <w:rsid w:val="00081AE6"/>
    <w:rsid w:val="000855EB"/>
    <w:rsid w:val="00085B52"/>
    <w:rsid w:val="000866F2"/>
    <w:rsid w:val="0009009F"/>
    <w:rsid w:val="00091557"/>
    <w:rsid w:val="000924C1"/>
    <w:rsid w:val="000924F0"/>
    <w:rsid w:val="00093474"/>
    <w:rsid w:val="00094C3B"/>
    <w:rsid w:val="0009510F"/>
    <w:rsid w:val="000A1B7B"/>
    <w:rsid w:val="000A56F2"/>
    <w:rsid w:val="000B2719"/>
    <w:rsid w:val="000B3A8F"/>
    <w:rsid w:val="000B4AB9"/>
    <w:rsid w:val="000B58C3"/>
    <w:rsid w:val="000B61E9"/>
    <w:rsid w:val="000C165A"/>
    <w:rsid w:val="000C1CA9"/>
    <w:rsid w:val="000C2E19"/>
    <w:rsid w:val="000D0D07"/>
    <w:rsid w:val="000D2B41"/>
    <w:rsid w:val="000D4797"/>
    <w:rsid w:val="000D53A0"/>
    <w:rsid w:val="000D73BB"/>
    <w:rsid w:val="000E0527"/>
    <w:rsid w:val="000E057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8FF"/>
    <w:rsid w:val="0017735D"/>
    <w:rsid w:val="0018143F"/>
    <w:rsid w:val="00181CE6"/>
    <w:rsid w:val="00181FF8"/>
    <w:rsid w:val="0018570D"/>
    <w:rsid w:val="00190AC1"/>
    <w:rsid w:val="0019341A"/>
    <w:rsid w:val="00197DF9"/>
    <w:rsid w:val="001A1987"/>
    <w:rsid w:val="001A2564"/>
    <w:rsid w:val="001A6173"/>
    <w:rsid w:val="001A6CBA"/>
    <w:rsid w:val="001B0D97"/>
    <w:rsid w:val="001B5A5D"/>
    <w:rsid w:val="001C1CE5"/>
    <w:rsid w:val="001C3D2A"/>
    <w:rsid w:val="001D305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18"/>
    <w:rsid w:val="00230765"/>
    <w:rsid w:val="00230D18"/>
    <w:rsid w:val="002319E4"/>
    <w:rsid w:val="00234996"/>
    <w:rsid w:val="00234EDC"/>
    <w:rsid w:val="00235632"/>
    <w:rsid w:val="00235872"/>
    <w:rsid w:val="00241559"/>
    <w:rsid w:val="002435B3"/>
    <w:rsid w:val="002458EB"/>
    <w:rsid w:val="002500C8"/>
    <w:rsid w:val="00254D90"/>
    <w:rsid w:val="00257543"/>
    <w:rsid w:val="002617E7"/>
    <w:rsid w:val="00264228"/>
    <w:rsid w:val="00264334"/>
    <w:rsid w:val="0026473E"/>
    <w:rsid w:val="00266214"/>
    <w:rsid w:val="002670C6"/>
    <w:rsid w:val="00267C83"/>
    <w:rsid w:val="002704F9"/>
    <w:rsid w:val="0027144F"/>
    <w:rsid w:val="00271813"/>
    <w:rsid w:val="00271F3A"/>
    <w:rsid w:val="00273278"/>
    <w:rsid w:val="002737F4"/>
    <w:rsid w:val="002805F5"/>
    <w:rsid w:val="00280751"/>
    <w:rsid w:val="0028280A"/>
    <w:rsid w:val="00285DF2"/>
    <w:rsid w:val="00286ACD"/>
    <w:rsid w:val="00287838"/>
    <w:rsid w:val="002907B5"/>
    <w:rsid w:val="00292EB7"/>
    <w:rsid w:val="00296227"/>
    <w:rsid w:val="00296F44"/>
    <w:rsid w:val="0029777D"/>
    <w:rsid w:val="002A055E"/>
    <w:rsid w:val="002A1D4E"/>
    <w:rsid w:val="002A2869"/>
    <w:rsid w:val="002A3C64"/>
    <w:rsid w:val="002A578E"/>
    <w:rsid w:val="002B24D6"/>
    <w:rsid w:val="002B6FE0"/>
    <w:rsid w:val="002C41E6"/>
    <w:rsid w:val="002D071A"/>
    <w:rsid w:val="002D34B2"/>
    <w:rsid w:val="002D3C15"/>
    <w:rsid w:val="002D4216"/>
    <w:rsid w:val="002D48B0"/>
    <w:rsid w:val="002D5B37"/>
    <w:rsid w:val="002D7637"/>
    <w:rsid w:val="002E17F2"/>
    <w:rsid w:val="002E7CAE"/>
    <w:rsid w:val="002F13E4"/>
    <w:rsid w:val="002F2771"/>
    <w:rsid w:val="002F37A9"/>
    <w:rsid w:val="00301CE6"/>
    <w:rsid w:val="0030256B"/>
    <w:rsid w:val="003040E6"/>
    <w:rsid w:val="0030501F"/>
    <w:rsid w:val="00307BA1"/>
    <w:rsid w:val="00311702"/>
    <w:rsid w:val="00311E82"/>
    <w:rsid w:val="00312027"/>
    <w:rsid w:val="00313FD6"/>
    <w:rsid w:val="003143BD"/>
    <w:rsid w:val="00315363"/>
    <w:rsid w:val="003203ED"/>
    <w:rsid w:val="00321C8F"/>
    <w:rsid w:val="00322C9F"/>
    <w:rsid w:val="00324D23"/>
    <w:rsid w:val="0033045F"/>
    <w:rsid w:val="00331751"/>
    <w:rsid w:val="00334579"/>
    <w:rsid w:val="00335858"/>
    <w:rsid w:val="00336BDA"/>
    <w:rsid w:val="00342BD7"/>
    <w:rsid w:val="00343B12"/>
    <w:rsid w:val="00346DB5"/>
    <w:rsid w:val="003477B1"/>
    <w:rsid w:val="00357380"/>
    <w:rsid w:val="003602D9"/>
    <w:rsid w:val="003604CE"/>
    <w:rsid w:val="00370E47"/>
    <w:rsid w:val="00373193"/>
    <w:rsid w:val="003742AC"/>
    <w:rsid w:val="00377CE1"/>
    <w:rsid w:val="00385BF0"/>
    <w:rsid w:val="003914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775"/>
    <w:rsid w:val="004357C4"/>
    <w:rsid w:val="00437447"/>
    <w:rsid w:val="00437769"/>
    <w:rsid w:val="00441A92"/>
    <w:rsid w:val="004431DC"/>
    <w:rsid w:val="00444BD8"/>
    <w:rsid w:val="00444F56"/>
    <w:rsid w:val="00446488"/>
    <w:rsid w:val="004517AA"/>
    <w:rsid w:val="00452CAC"/>
    <w:rsid w:val="00457565"/>
    <w:rsid w:val="00457B71"/>
    <w:rsid w:val="004617AB"/>
    <w:rsid w:val="00464689"/>
    <w:rsid w:val="004669E2"/>
    <w:rsid w:val="00470C31"/>
    <w:rsid w:val="00471DE0"/>
    <w:rsid w:val="004734D0"/>
    <w:rsid w:val="0047556B"/>
    <w:rsid w:val="00477768"/>
    <w:rsid w:val="004874B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96E"/>
    <w:rsid w:val="00506557"/>
    <w:rsid w:val="0050677A"/>
    <w:rsid w:val="005108D8"/>
    <w:rsid w:val="005116F9"/>
    <w:rsid w:val="00514A05"/>
    <w:rsid w:val="005153A7"/>
    <w:rsid w:val="005219CF"/>
    <w:rsid w:val="00534B59"/>
    <w:rsid w:val="00536759"/>
    <w:rsid w:val="00537C62"/>
    <w:rsid w:val="00546970"/>
    <w:rsid w:val="00554E19"/>
    <w:rsid w:val="0056121F"/>
    <w:rsid w:val="00572505"/>
    <w:rsid w:val="00582809"/>
    <w:rsid w:val="0058798C"/>
    <w:rsid w:val="005900FA"/>
    <w:rsid w:val="005914EE"/>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02B"/>
    <w:rsid w:val="00683ECE"/>
    <w:rsid w:val="00695FC2"/>
    <w:rsid w:val="00696949"/>
    <w:rsid w:val="00697052"/>
    <w:rsid w:val="006A316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9B6"/>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284"/>
    <w:rsid w:val="00721B32"/>
    <w:rsid w:val="007257D0"/>
    <w:rsid w:val="00726EA6"/>
    <w:rsid w:val="00727208"/>
    <w:rsid w:val="00727680"/>
    <w:rsid w:val="007348B1"/>
    <w:rsid w:val="007362A6"/>
    <w:rsid w:val="0073684C"/>
    <w:rsid w:val="00736D7D"/>
    <w:rsid w:val="007407CF"/>
    <w:rsid w:val="00740E58"/>
    <w:rsid w:val="007445A0"/>
    <w:rsid w:val="0074524B"/>
    <w:rsid w:val="00747D8B"/>
    <w:rsid w:val="00751228"/>
    <w:rsid w:val="007571E1"/>
    <w:rsid w:val="007604B2"/>
    <w:rsid w:val="00765281"/>
    <w:rsid w:val="00766BAD"/>
    <w:rsid w:val="007729A2"/>
    <w:rsid w:val="007755F2"/>
    <w:rsid w:val="007760BD"/>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589"/>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8C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5436"/>
    <w:rsid w:val="0095681E"/>
    <w:rsid w:val="009572D4"/>
    <w:rsid w:val="00961921"/>
    <w:rsid w:val="0096430A"/>
    <w:rsid w:val="0096554B"/>
    <w:rsid w:val="0096584A"/>
    <w:rsid w:val="00966EAB"/>
    <w:rsid w:val="00971F08"/>
    <w:rsid w:val="0097603D"/>
    <w:rsid w:val="00976949"/>
    <w:rsid w:val="00980477"/>
    <w:rsid w:val="00985253"/>
    <w:rsid w:val="009853B3"/>
    <w:rsid w:val="0098694E"/>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B79"/>
    <w:rsid w:val="00A13E54"/>
    <w:rsid w:val="00A17F63"/>
    <w:rsid w:val="00A2193B"/>
    <w:rsid w:val="00A22177"/>
    <w:rsid w:val="00A2351A"/>
    <w:rsid w:val="00A264A9"/>
    <w:rsid w:val="00A26DCF"/>
    <w:rsid w:val="00A27785"/>
    <w:rsid w:val="00A30187"/>
    <w:rsid w:val="00A3448A"/>
    <w:rsid w:val="00A36297"/>
    <w:rsid w:val="00A37917"/>
    <w:rsid w:val="00A41E2B"/>
    <w:rsid w:val="00A45B74"/>
    <w:rsid w:val="00A52E1D"/>
    <w:rsid w:val="00A57461"/>
    <w:rsid w:val="00A61499"/>
    <w:rsid w:val="00A62A77"/>
    <w:rsid w:val="00A63483"/>
    <w:rsid w:val="00A657D7"/>
    <w:rsid w:val="00A660AC"/>
    <w:rsid w:val="00A67E6C"/>
    <w:rsid w:val="00A71B99"/>
    <w:rsid w:val="00A739D0"/>
    <w:rsid w:val="00A761D4"/>
    <w:rsid w:val="00A77EC4"/>
    <w:rsid w:val="00A81BAF"/>
    <w:rsid w:val="00A821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CBC"/>
    <w:rsid w:val="00B20D09"/>
    <w:rsid w:val="00B226E7"/>
    <w:rsid w:val="00B2757F"/>
    <w:rsid w:val="00B2763F"/>
    <w:rsid w:val="00B27AAC"/>
    <w:rsid w:val="00B30929"/>
    <w:rsid w:val="00B372AA"/>
    <w:rsid w:val="00B40445"/>
    <w:rsid w:val="00B409E0"/>
    <w:rsid w:val="00B4117D"/>
    <w:rsid w:val="00B41888"/>
    <w:rsid w:val="00B45A52"/>
    <w:rsid w:val="00B46175"/>
    <w:rsid w:val="00B548B7"/>
    <w:rsid w:val="00B664C7"/>
    <w:rsid w:val="00B713D8"/>
    <w:rsid w:val="00B738FC"/>
    <w:rsid w:val="00B739F6"/>
    <w:rsid w:val="00B81A6C"/>
    <w:rsid w:val="00B853F7"/>
    <w:rsid w:val="00B85DE5"/>
    <w:rsid w:val="00B90F73"/>
    <w:rsid w:val="00B93B59"/>
    <w:rsid w:val="00B9406A"/>
    <w:rsid w:val="00BA0815"/>
    <w:rsid w:val="00BA2280"/>
    <w:rsid w:val="00BA27CF"/>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157"/>
    <w:rsid w:val="00BF3279"/>
    <w:rsid w:val="00BF66A0"/>
    <w:rsid w:val="00BF74C7"/>
    <w:rsid w:val="00C015F1"/>
    <w:rsid w:val="00C01F33"/>
    <w:rsid w:val="00C02CC6"/>
    <w:rsid w:val="00C040F7"/>
    <w:rsid w:val="00C044AB"/>
    <w:rsid w:val="00C05706"/>
    <w:rsid w:val="00C07377"/>
    <w:rsid w:val="00C10478"/>
    <w:rsid w:val="00C12107"/>
    <w:rsid w:val="00C14D4B"/>
    <w:rsid w:val="00C154BB"/>
    <w:rsid w:val="00C26B6D"/>
    <w:rsid w:val="00C279B5"/>
    <w:rsid w:val="00C27C45"/>
    <w:rsid w:val="00C3719D"/>
    <w:rsid w:val="00C37CB2"/>
    <w:rsid w:val="00C473A5"/>
    <w:rsid w:val="00C54995"/>
    <w:rsid w:val="00C54D41"/>
    <w:rsid w:val="00C60783"/>
    <w:rsid w:val="00C624B0"/>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D35"/>
    <w:rsid w:val="00CE15F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305"/>
    <w:rsid w:val="00DC2D36"/>
    <w:rsid w:val="00DC53EF"/>
    <w:rsid w:val="00DE5608"/>
    <w:rsid w:val="00DE58D0"/>
    <w:rsid w:val="00DE654F"/>
    <w:rsid w:val="00DF0B6E"/>
    <w:rsid w:val="00DF15E0"/>
    <w:rsid w:val="00DF37A0"/>
    <w:rsid w:val="00E01A0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41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0D0"/>
    <w:rsid w:val="00EC24D5"/>
    <w:rsid w:val="00EC27C6"/>
    <w:rsid w:val="00EC4207"/>
    <w:rsid w:val="00EC5653"/>
    <w:rsid w:val="00EC71CE"/>
    <w:rsid w:val="00ED1006"/>
    <w:rsid w:val="00EF010F"/>
    <w:rsid w:val="00EF18FE"/>
    <w:rsid w:val="00EF5787"/>
    <w:rsid w:val="00EF60D0"/>
    <w:rsid w:val="00F0528D"/>
    <w:rsid w:val="00F05C09"/>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F0B"/>
    <w:rsid w:val="00F868F5"/>
    <w:rsid w:val="00F9056A"/>
    <w:rsid w:val="00F90F8D"/>
    <w:rsid w:val="00F92782"/>
    <w:rsid w:val="00F93AA9"/>
    <w:rsid w:val="00F96985"/>
    <w:rsid w:val="00F97838"/>
    <w:rsid w:val="00FA2BB3"/>
    <w:rsid w:val="00FA548A"/>
    <w:rsid w:val="00FB305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F94DE64-E859-493A-AA21-D31B67034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5</Pages>
  <Words>1861</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86</cp:revision>
  <cp:lastPrinted>2008-01-31T16:09:00Z</cp:lastPrinted>
  <dcterms:created xsi:type="dcterms:W3CDTF">2020-08-14T06:21:00Z</dcterms:created>
  <dcterms:modified xsi:type="dcterms:W3CDTF">2023-09-27T09:52:00Z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